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7A0D38">
        <w:rPr>
          <w:rFonts w:ascii="Arial" w:hAnsi="Arial" w:cs="Arial"/>
          <w:b/>
          <w:sz w:val="28"/>
          <w:szCs w:val="28"/>
          <w:lang w:val="es-CO"/>
        </w:rPr>
        <w:t>184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7A0D38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7A0D38">
        <w:rPr>
          <w:rFonts w:ascii="Arial" w:hAnsi="Arial" w:cs="Arial"/>
          <w:b/>
          <w:sz w:val="28"/>
          <w:szCs w:val="28"/>
          <w:lang w:val="es-CO"/>
        </w:rPr>
        <w:t>1</w:t>
      </w:r>
      <w:r>
        <w:rPr>
          <w:rFonts w:ascii="Arial" w:hAnsi="Arial" w:cs="Arial"/>
          <w:b/>
          <w:sz w:val="28"/>
          <w:szCs w:val="28"/>
          <w:lang w:val="es-CO"/>
        </w:rPr>
        <w:t>3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A623A1" w:rsidRPr="00280D0E" w:rsidRDefault="00A623A1" w:rsidP="00A623A1">
      <w:pPr>
        <w:pStyle w:val="Prrafodelista"/>
        <w:numPr>
          <w:ilvl w:val="0"/>
          <w:numId w:val="8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280D0E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día.</w:t>
      </w:r>
    </w:p>
    <w:p w:rsidR="00D50995" w:rsidRPr="00280D0E" w:rsidRDefault="00D50995" w:rsidP="00746441">
      <w:pPr>
        <w:rPr>
          <w:rFonts w:ascii="Arial" w:hAnsi="Arial" w:cs="Arial"/>
          <w:b/>
          <w:color w:val="000000"/>
          <w:sz w:val="22"/>
          <w:szCs w:val="22"/>
        </w:rPr>
      </w:pPr>
    </w:p>
    <w:p w:rsidR="00C90B14" w:rsidRPr="00280D0E" w:rsidRDefault="005D63A8" w:rsidP="00C90B14">
      <w:pPr>
        <w:pStyle w:val="Prrafodelista"/>
        <w:numPr>
          <w:ilvl w:val="0"/>
          <w:numId w:val="8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Aprobación de </w:t>
      </w:r>
      <w:r w:rsidR="008C34A4" w:rsidRPr="00280D0E">
        <w:rPr>
          <w:rFonts w:ascii="Arial" w:hAnsi="Arial" w:cs="Arial"/>
          <w:b/>
          <w:sz w:val="22"/>
          <w:szCs w:val="22"/>
        </w:rPr>
        <w:t xml:space="preserve">Informes de </w:t>
      </w:r>
      <w:r w:rsidRPr="00280D0E">
        <w:rPr>
          <w:rFonts w:ascii="Arial" w:hAnsi="Arial" w:cs="Arial"/>
          <w:b/>
          <w:sz w:val="22"/>
          <w:szCs w:val="22"/>
        </w:rPr>
        <w:t>Conciliación</w:t>
      </w:r>
    </w:p>
    <w:p w:rsidR="008C34A4" w:rsidRPr="00280D0E" w:rsidRDefault="008C34A4" w:rsidP="008C34A4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8C34A4" w:rsidRPr="00280D0E" w:rsidRDefault="005D63A8" w:rsidP="008C34A4">
      <w:pPr>
        <w:pStyle w:val="Prrafodelista"/>
        <w:numPr>
          <w:ilvl w:val="0"/>
          <w:numId w:val="35"/>
        </w:numPr>
        <w:spacing w:before="45" w:after="28"/>
        <w:ind w:left="709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lang w:val="es-CO"/>
        </w:rPr>
        <w:t>Se discutió y</w:t>
      </w:r>
      <w:r w:rsidR="008C34A4" w:rsidRPr="00280D0E">
        <w:rPr>
          <w:rFonts w:ascii="Arial" w:hAnsi="Arial" w:cs="Arial"/>
          <w:b/>
          <w:sz w:val="22"/>
          <w:szCs w:val="22"/>
          <w:lang w:val="es-CO"/>
        </w:rPr>
        <w:t xml:space="preserve"> aprobó, el informe de conciliación al </w:t>
      </w:r>
      <w:hyperlink r:id="rId9" w:history="1">
        <w:r w:rsidR="008C34A4" w:rsidRPr="00280D0E">
          <w:rPr>
            <w:rStyle w:val="Hipervnculo"/>
            <w:rFonts w:ascii="Arial" w:hAnsi="Arial" w:cs="Arial"/>
            <w:b/>
            <w:iCs/>
            <w:sz w:val="22"/>
            <w:szCs w:val="22"/>
            <w:lang w:val="es-ES_tradnl"/>
          </w:rPr>
          <w:t xml:space="preserve">Proyecto de </w:t>
        </w:r>
        <w:r w:rsidR="008C34A4" w:rsidRPr="00280D0E">
          <w:rPr>
            <w:rStyle w:val="Hipervnculo"/>
            <w:rFonts w:ascii="Arial" w:hAnsi="Arial" w:cs="Arial"/>
            <w:b/>
            <w:bCs/>
            <w:iCs/>
            <w:sz w:val="22"/>
            <w:szCs w:val="22"/>
            <w:lang w:val="es-CO"/>
          </w:rPr>
          <w:t xml:space="preserve">Ley </w:t>
        </w:r>
        <w:r w:rsidR="008C34A4" w:rsidRPr="00280D0E">
          <w:rPr>
            <w:rStyle w:val="Hipervnculo"/>
            <w:rFonts w:ascii="Arial" w:hAnsi="Arial" w:cs="Arial"/>
            <w:b/>
            <w:iCs/>
            <w:sz w:val="22"/>
            <w:szCs w:val="22"/>
            <w:lang w:val="es-CO"/>
          </w:rPr>
          <w:t>No. 147 de 2011 Cámara - 240 de 2012 Senado</w:t>
        </w:r>
      </w:hyperlink>
      <w:r w:rsidR="008C34A4" w:rsidRPr="00280D0E">
        <w:rPr>
          <w:rFonts w:ascii="Arial" w:hAnsi="Arial" w:cs="Arial"/>
          <w:b/>
          <w:iCs/>
          <w:color w:val="000000"/>
          <w:sz w:val="22"/>
          <w:szCs w:val="22"/>
          <w:lang w:val="es-CO"/>
        </w:rPr>
        <w:t xml:space="preserve"> </w:t>
      </w:r>
      <w:r w:rsidR="008C34A4" w:rsidRPr="00280D0E">
        <w:rPr>
          <w:rFonts w:ascii="Arial" w:hAnsi="Arial" w:cs="Arial"/>
          <w:i/>
          <w:iCs/>
          <w:color w:val="000000"/>
          <w:sz w:val="22"/>
          <w:szCs w:val="22"/>
          <w:lang w:val="es-CO"/>
        </w:rPr>
        <w:t>“</w:t>
      </w:r>
      <w:r w:rsidR="008C34A4" w:rsidRPr="00280D0E">
        <w:rPr>
          <w:rFonts w:ascii="Arial" w:hAnsi="Arial" w:cs="Arial"/>
          <w:bCs/>
          <w:i/>
          <w:iCs/>
          <w:color w:val="000000"/>
          <w:sz w:val="22"/>
          <w:szCs w:val="22"/>
        </w:rPr>
        <w:t>Por la cual se expide el Régimen para los Distritos Especiales</w:t>
      </w:r>
      <w:r w:rsidR="008C34A4" w:rsidRPr="00280D0E">
        <w:rPr>
          <w:rFonts w:ascii="Arial" w:hAnsi="Arial" w:cs="Arial"/>
          <w:i/>
          <w:sz w:val="22"/>
          <w:szCs w:val="22"/>
          <w:lang w:val="es-CO"/>
        </w:rPr>
        <w:t>”</w:t>
      </w:r>
      <w:r w:rsidR="008C34A4" w:rsidRPr="00280D0E">
        <w:rPr>
          <w:rFonts w:ascii="Arial" w:hAnsi="Arial" w:cs="Arial"/>
          <w:bCs/>
          <w:i/>
          <w:iCs/>
          <w:sz w:val="22"/>
          <w:szCs w:val="22"/>
          <w:lang w:val="es-ES_tradnl"/>
        </w:rPr>
        <w:t>.</w:t>
      </w:r>
    </w:p>
    <w:p w:rsidR="008C34A4" w:rsidRPr="00280D0E" w:rsidRDefault="008C34A4" w:rsidP="008C34A4">
      <w:pPr>
        <w:pStyle w:val="Prrafodelista"/>
        <w:spacing w:before="45" w:after="28"/>
        <w:ind w:left="709"/>
        <w:jc w:val="both"/>
        <w:textAlignment w:val="center"/>
        <w:rPr>
          <w:rFonts w:ascii="Arial" w:hAnsi="Arial" w:cs="Arial"/>
          <w:b/>
          <w:sz w:val="16"/>
          <w:szCs w:val="16"/>
        </w:rPr>
      </w:pPr>
    </w:p>
    <w:p w:rsidR="008C34A4" w:rsidRPr="00280D0E" w:rsidRDefault="008C34A4" w:rsidP="008C34A4">
      <w:pPr>
        <w:pStyle w:val="Prrafodelista"/>
        <w:spacing w:before="45" w:after="28"/>
        <w:ind w:left="709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280D0E">
        <w:rPr>
          <w:rFonts w:ascii="Arial" w:hAnsi="Arial" w:cs="Arial"/>
          <w:sz w:val="16"/>
          <w:szCs w:val="16"/>
        </w:rPr>
        <w:t xml:space="preserve">Publicado en la Gaceta del Congreso No. </w:t>
      </w:r>
      <w:hyperlink r:id="rId10" w:history="1">
        <w:r w:rsidRPr="00280D0E">
          <w:rPr>
            <w:rStyle w:val="Hipervnculo"/>
            <w:rFonts w:ascii="Arial" w:hAnsi="Arial" w:cs="Arial"/>
            <w:sz w:val="16"/>
            <w:szCs w:val="16"/>
          </w:rPr>
          <w:t>932 de 2012.</w:t>
        </w:r>
      </w:hyperlink>
    </w:p>
    <w:p w:rsidR="008C34A4" w:rsidRPr="00280D0E" w:rsidRDefault="008C34A4" w:rsidP="008C34A4">
      <w:pPr>
        <w:pStyle w:val="Prrafodelista"/>
        <w:ind w:left="426"/>
        <w:rPr>
          <w:rFonts w:ascii="Arial" w:hAnsi="Arial" w:cs="Arial"/>
          <w:b/>
          <w:sz w:val="16"/>
          <w:szCs w:val="16"/>
        </w:rPr>
      </w:pPr>
    </w:p>
    <w:p w:rsidR="00280D0E" w:rsidRPr="00280D0E" w:rsidRDefault="005D63A8" w:rsidP="00280D0E">
      <w:pPr>
        <w:pStyle w:val="Prrafodelista"/>
        <w:numPr>
          <w:ilvl w:val="0"/>
          <w:numId w:val="27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Aprobación de </w:t>
      </w:r>
      <w:r w:rsidR="00C90B14" w:rsidRPr="00280D0E">
        <w:rPr>
          <w:rFonts w:ascii="Arial" w:hAnsi="Arial" w:cs="Arial"/>
          <w:b/>
          <w:color w:val="000000"/>
          <w:sz w:val="22"/>
          <w:szCs w:val="22"/>
        </w:rPr>
        <w:t>Proyectos para Segundo Debate</w:t>
      </w:r>
    </w:p>
    <w:p w:rsidR="00280D0E" w:rsidRPr="00280D0E" w:rsidRDefault="00280D0E" w:rsidP="0032189A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:rsidR="00280D0E" w:rsidRPr="00280D0E" w:rsidRDefault="00280D0E" w:rsidP="00280D0E">
      <w:pPr>
        <w:pStyle w:val="Subttulo"/>
        <w:numPr>
          <w:ilvl w:val="0"/>
          <w:numId w:val="36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0D0E">
        <w:rPr>
          <w:rFonts w:ascii="Arial" w:hAnsi="Arial" w:cs="Arial"/>
          <w:i w:val="0"/>
          <w:sz w:val="22"/>
          <w:szCs w:val="22"/>
          <w:lang w:val="es-CO"/>
        </w:rPr>
        <w:t xml:space="preserve">Se discutió y </w:t>
      </w:r>
      <w:r>
        <w:rPr>
          <w:rFonts w:ascii="Arial" w:hAnsi="Arial" w:cs="Arial"/>
          <w:i w:val="0"/>
          <w:sz w:val="22"/>
          <w:szCs w:val="22"/>
          <w:lang w:val="es-CO"/>
        </w:rPr>
        <w:t>con</w:t>
      </w:r>
      <w:r w:rsidRPr="00280D0E">
        <w:rPr>
          <w:rFonts w:ascii="Arial" w:hAnsi="Arial" w:cs="Arial"/>
          <w:i w:val="0"/>
          <w:sz w:val="22"/>
          <w:szCs w:val="22"/>
          <w:lang w:val="es-CO"/>
        </w:rPr>
        <w:t xml:space="preserve"> modificaciones se aprobó, el </w:t>
      </w:r>
      <w:hyperlink r:id="rId11" w:history="1">
        <w:r w:rsidRPr="00280D0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129 de 2012 Cámara – 131 de 2012 Senado</w:t>
        </w:r>
      </w:hyperlink>
      <w:r w:rsidRPr="00280D0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80D0E">
        <w:rPr>
          <w:rFonts w:ascii="Arial" w:hAnsi="Arial" w:cs="Arial"/>
          <w:b w:val="0"/>
          <w:bCs/>
          <w:sz w:val="22"/>
          <w:szCs w:val="22"/>
        </w:rPr>
        <w:t>“</w:t>
      </w:r>
      <w:r w:rsidRPr="00280D0E">
        <w:rPr>
          <w:rFonts w:ascii="Arial" w:hAnsi="Arial" w:cs="Arial"/>
          <w:b w:val="0"/>
          <w:bCs/>
          <w:sz w:val="22"/>
          <w:szCs w:val="22"/>
          <w:lang w:val="es-CO"/>
        </w:rPr>
        <w:t>Por la cual se crea el fondo especial para la administración de bienes de la Fiscalía General de la Nación, se establecen los sistemas de administración de bienes, y se dictan disposiciones generales sobre su funcionamiento</w:t>
      </w:r>
      <w:r w:rsidRPr="00280D0E">
        <w:rPr>
          <w:rFonts w:ascii="Arial" w:hAnsi="Arial" w:cs="Arial"/>
          <w:b w:val="0"/>
          <w:bCs/>
          <w:sz w:val="22"/>
          <w:szCs w:val="22"/>
        </w:rPr>
        <w:t xml:space="preserve">”. </w:t>
      </w:r>
    </w:p>
    <w:p w:rsidR="00280D0E" w:rsidRPr="00280D0E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280D0E" w:rsidRPr="00280D0E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280D0E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280D0E">
        <w:rPr>
          <w:rFonts w:ascii="Arial" w:hAnsi="Arial" w:cs="Arial"/>
          <w:b w:val="0"/>
          <w:i w:val="0"/>
          <w:sz w:val="16"/>
          <w:szCs w:val="16"/>
          <w:lang w:val="es-ES"/>
        </w:rPr>
        <w:t>H.R</w:t>
      </w:r>
      <w:proofErr w:type="spellEnd"/>
      <w:r w:rsidRPr="00280D0E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</w:t>
      </w:r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Hernando Cárdenas Cardoso, Pedro Mary </w:t>
      </w:r>
      <w:proofErr w:type="spellStart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Muvdi</w:t>
      </w:r>
      <w:proofErr w:type="spellEnd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</w:t>
      </w:r>
      <w:proofErr w:type="spellStart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Arangüena</w:t>
      </w:r>
      <w:proofErr w:type="spellEnd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Juan Felipe Lemos Uribe, Carlos Abraham Jiménez López, Consuelo González de Perdomo, Miguel Amín </w:t>
      </w:r>
      <w:proofErr w:type="spellStart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Escaf</w:t>
      </w:r>
      <w:proofErr w:type="spellEnd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Mercedes E. Márquez </w:t>
      </w:r>
      <w:proofErr w:type="spellStart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Guenzati</w:t>
      </w:r>
      <w:proofErr w:type="spellEnd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 Luis Eduardo </w:t>
      </w:r>
      <w:proofErr w:type="spellStart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Díazgranados</w:t>
      </w:r>
      <w:proofErr w:type="spellEnd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Torres, José Ignacio Bermúdez Sánchez, Roberto José Herrera Díaz, Obed de Jesús Zuluaga Henao, Álvaro Pacheco Álvarez, Alejandro Carlos Chacón Camargo, José Alfredo </w:t>
      </w:r>
      <w:proofErr w:type="spellStart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Gnecco</w:t>
      </w:r>
      <w:proofErr w:type="spellEnd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Zuleta, Juan Manuel Campo </w:t>
      </w:r>
      <w:proofErr w:type="spellStart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Eljach</w:t>
      </w:r>
      <w:proofErr w:type="spellEnd"/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, Nidia</w:t>
      </w:r>
      <w:r w:rsidRPr="00280D0E">
        <w:rPr>
          <w:rFonts w:ascii="Arial" w:hAnsi="Arial" w:cs="Arial"/>
          <w:b w:val="0"/>
          <w:bCs/>
          <w:i w:val="0"/>
          <w:sz w:val="22"/>
          <w:szCs w:val="22"/>
          <w:lang w:val="es-ES"/>
        </w:rPr>
        <w:t xml:space="preserve"> </w:t>
      </w:r>
      <w:r w:rsidRPr="00280D0E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Marcela Osorio Salgado, Oscar Humberto Henao Martínez, Nicolás Antonio Jiménez Paternina, Mario Suarez Flórez, Jaime Alonso Vásquez Bustamante</w:t>
      </w:r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280D0E" w:rsidRPr="00280D0E" w:rsidRDefault="00280D0E" w:rsidP="00280D0E">
      <w:pPr>
        <w:pStyle w:val="Subttulo"/>
        <w:tabs>
          <w:tab w:val="left" w:pos="6865"/>
        </w:tabs>
        <w:spacing w:before="0" w:after="0"/>
        <w:ind w:left="-142" w:firstLine="7005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280D0E" w:rsidRPr="00280D0E" w:rsidRDefault="00280D0E" w:rsidP="00280D0E">
      <w:pPr>
        <w:pStyle w:val="Subttulo"/>
        <w:numPr>
          <w:ilvl w:val="0"/>
          <w:numId w:val="36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0D0E">
        <w:rPr>
          <w:rFonts w:ascii="Arial" w:hAnsi="Arial" w:cs="Arial"/>
          <w:i w:val="0"/>
          <w:sz w:val="22"/>
          <w:szCs w:val="22"/>
          <w:lang w:val="es-CO"/>
        </w:rPr>
        <w:t xml:space="preserve">Se discutió y </w:t>
      </w:r>
      <w:r>
        <w:rPr>
          <w:rFonts w:ascii="Arial" w:hAnsi="Arial" w:cs="Arial"/>
          <w:i w:val="0"/>
          <w:sz w:val="22"/>
          <w:szCs w:val="22"/>
          <w:lang w:val="es-CO"/>
        </w:rPr>
        <w:t>con</w:t>
      </w:r>
      <w:r w:rsidRPr="00280D0E">
        <w:rPr>
          <w:rFonts w:ascii="Arial" w:hAnsi="Arial" w:cs="Arial"/>
          <w:i w:val="0"/>
          <w:sz w:val="22"/>
          <w:szCs w:val="22"/>
          <w:lang w:val="es-CO"/>
        </w:rPr>
        <w:t xml:space="preserve"> modificaciones se aprobó, el </w:t>
      </w:r>
      <w:hyperlink r:id="rId12" w:history="1">
        <w:r w:rsidRPr="00280D0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248 de 2012 Cámara – 138 de 2011 Senado</w:t>
        </w:r>
      </w:hyperlink>
      <w:r w:rsidRPr="00280D0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80D0E">
        <w:rPr>
          <w:rFonts w:ascii="Arial" w:hAnsi="Arial" w:cs="Arial"/>
          <w:b w:val="0"/>
          <w:bCs/>
          <w:sz w:val="22"/>
          <w:szCs w:val="22"/>
        </w:rPr>
        <w:t>“</w:t>
      </w:r>
      <w:r w:rsidRPr="00280D0E">
        <w:rPr>
          <w:rFonts w:ascii="Arial" w:hAnsi="Arial" w:cs="Arial"/>
          <w:b w:val="0"/>
          <w:bCs/>
          <w:sz w:val="22"/>
          <w:szCs w:val="22"/>
          <w:lang w:val="es-ES"/>
        </w:rPr>
        <w:t xml:space="preserve">Por la cual se dictan normas generales a las cuales debe sujetarse el Gobierno para modificar los aranceles, tarifas y demás disposiciones concernientes al Régimen de Aduanas, de conformidad con los </w:t>
      </w:r>
      <w:r w:rsidRPr="00280D0E">
        <w:rPr>
          <w:rFonts w:ascii="Arial" w:hAnsi="Arial" w:cs="Arial"/>
          <w:b w:val="0"/>
          <w:bCs/>
          <w:sz w:val="22"/>
          <w:szCs w:val="22"/>
          <w:lang w:val="es-ES"/>
        </w:rPr>
        <w:lastRenderedPageBreak/>
        <w:t>artículos 150 y 224 de la Constitución Política de Colombia y los artículos 150 y 153 de la Ley 5ª de 1992</w:t>
      </w:r>
      <w:r w:rsidRPr="00280D0E">
        <w:rPr>
          <w:rFonts w:ascii="Arial" w:hAnsi="Arial" w:cs="Arial"/>
          <w:b w:val="0"/>
          <w:bCs/>
          <w:sz w:val="22"/>
          <w:szCs w:val="22"/>
        </w:rPr>
        <w:t xml:space="preserve">”. </w:t>
      </w:r>
    </w:p>
    <w:p w:rsidR="00280D0E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280D0E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22"/>
          <w:szCs w:val="22"/>
          <w:lang w:val="es-CO"/>
        </w:rPr>
      </w:pPr>
      <w:r w:rsidRPr="00280D0E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>H.S</w:t>
      </w:r>
      <w:proofErr w:type="spellEnd"/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Alexandra Moreno </w:t>
      </w:r>
      <w:proofErr w:type="spellStart"/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>Piraquive</w:t>
      </w:r>
      <w:proofErr w:type="spellEnd"/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y Piedad </w:t>
      </w:r>
      <w:proofErr w:type="spellStart"/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>Zuccardi</w:t>
      </w:r>
      <w:proofErr w:type="spellEnd"/>
      <w:r w:rsidRPr="00280D0E">
        <w:rPr>
          <w:rFonts w:ascii="Arial" w:hAnsi="Arial" w:cs="Arial"/>
          <w:b w:val="0"/>
          <w:i w:val="0"/>
          <w:sz w:val="22"/>
          <w:szCs w:val="22"/>
          <w:lang w:val="es-CO"/>
        </w:rPr>
        <w:t>.</w:t>
      </w:r>
    </w:p>
    <w:p w:rsidR="002A614D" w:rsidRDefault="002A614D" w:rsidP="00280D0E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22"/>
          <w:szCs w:val="22"/>
          <w:lang w:val="es-CO"/>
        </w:rPr>
      </w:pPr>
    </w:p>
    <w:p w:rsidR="002A614D" w:rsidRPr="002A614D" w:rsidRDefault="002A614D" w:rsidP="002A614D">
      <w:pPr>
        <w:pStyle w:val="Subttulo"/>
        <w:numPr>
          <w:ilvl w:val="0"/>
          <w:numId w:val="36"/>
        </w:numPr>
        <w:spacing w:before="0" w:after="0"/>
        <w:jc w:val="both"/>
        <w:rPr>
          <w:rFonts w:ascii="Arial" w:hAnsi="Arial" w:cs="Arial"/>
          <w:bCs/>
          <w:i w:val="0"/>
          <w:sz w:val="22"/>
          <w:szCs w:val="22"/>
        </w:rPr>
      </w:pPr>
      <w:r w:rsidRPr="002A614D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3" w:history="1">
        <w:r w:rsidRPr="002A614D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141 de 2012 Cámara – 107 de 2011 Senado</w:t>
        </w:r>
      </w:hyperlink>
      <w:r w:rsidRPr="002A614D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A614D">
        <w:rPr>
          <w:rFonts w:ascii="Arial" w:hAnsi="Arial" w:cs="Arial"/>
          <w:b w:val="0"/>
          <w:bCs/>
          <w:sz w:val="22"/>
          <w:szCs w:val="22"/>
        </w:rPr>
        <w:t>“</w:t>
      </w:r>
      <w:r w:rsidRPr="002A614D">
        <w:rPr>
          <w:rFonts w:ascii="Arial" w:hAnsi="Arial" w:cs="Arial"/>
          <w:b w:val="0"/>
          <w:bCs/>
          <w:sz w:val="22"/>
          <w:szCs w:val="22"/>
          <w:lang w:val="es-CO"/>
        </w:rPr>
        <w:t>Por medio de la cual se aprueba el Acuerdo de reconocimiento mutuo de títulos y grados académicos de educación superior universitaria entre el Gobierno de la República de Colombia y el Gobierno del Reino de España, suscrito en Mar del Plata, Argentina, el 4 de diciembre de 2010</w:t>
      </w:r>
      <w:r w:rsidRPr="002A614D">
        <w:rPr>
          <w:rFonts w:ascii="Arial" w:hAnsi="Arial" w:cs="Arial"/>
          <w:b w:val="0"/>
          <w:bCs/>
          <w:sz w:val="22"/>
          <w:szCs w:val="22"/>
        </w:rPr>
        <w:t>”.</w:t>
      </w:r>
    </w:p>
    <w:p w:rsidR="002A614D" w:rsidRPr="006653A9" w:rsidRDefault="002A614D" w:rsidP="002A614D">
      <w:pPr>
        <w:pStyle w:val="Subttulo"/>
        <w:spacing w:before="0" w:after="0"/>
        <w:ind w:left="720"/>
        <w:jc w:val="both"/>
        <w:rPr>
          <w:rFonts w:ascii="Arial" w:hAnsi="Arial" w:cs="Arial"/>
          <w:bCs/>
          <w:i w:val="0"/>
          <w:szCs w:val="24"/>
        </w:rPr>
      </w:pPr>
    </w:p>
    <w:p w:rsidR="00280D0E" w:rsidRDefault="002A614D" w:rsidP="002A614D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2A614D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>H.S</w:t>
      </w:r>
      <w:proofErr w:type="spellEnd"/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</w:t>
      </w:r>
      <w:r w:rsidRPr="002A614D">
        <w:rPr>
          <w:rFonts w:ascii="Arial" w:hAnsi="Arial" w:cs="Arial"/>
          <w:b w:val="0"/>
          <w:i w:val="0"/>
          <w:sz w:val="16"/>
          <w:szCs w:val="16"/>
          <w:lang w:val="es-ES"/>
        </w:rPr>
        <w:t>Ministra de Relaciones Exteriores, doctora María Ángela Holguín Cuellar y la Ministra de Educación Nacional, doctora María Fernanda Campo Saavedra</w:t>
      </w:r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2A614D" w:rsidRDefault="002A614D" w:rsidP="002A614D">
      <w:pPr>
        <w:pStyle w:val="Subttulo"/>
        <w:spacing w:before="0"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2A614D" w:rsidRPr="002A614D" w:rsidRDefault="002A614D" w:rsidP="002A614D">
      <w:pPr>
        <w:pStyle w:val="Subttulo"/>
        <w:numPr>
          <w:ilvl w:val="0"/>
          <w:numId w:val="36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A614D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4" w:history="1">
        <w:r w:rsidRPr="002A614D">
          <w:rPr>
            <w:rStyle w:val="Hipervnculo"/>
            <w:rFonts w:ascii="Arial" w:hAnsi="Arial" w:cs="Arial"/>
            <w:i w:val="0"/>
            <w:sz w:val="22"/>
            <w:szCs w:val="22"/>
            <w:lang w:val="es-ES"/>
          </w:rPr>
          <w:t>Proyecto de Ley No. 139 de 2011 Cámara</w:t>
        </w:r>
      </w:hyperlink>
      <w:r w:rsidRPr="002A614D">
        <w:rPr>
          <w:rFonts w:ascii="Arial" w:hAnsi="Arial" w:cs="Arial"/>
          <w:i w:val="0"/>
          <w:sz w:val="22"/>
          <w:szCs w:val="22"/>
          <w:lang w:val="es-ES"/>
        </w:rPr>
        <w:t xml:space="preserve"> </w:t>
      </w:r>
      <w:r w:rsidRPr="002A614D">
        <w:rPr>
          <w:rFonts w:ascii="Arial" w:hAnsi="Arial" w:cs="Arial"/>
          <w:b w:val="0"/>
          <w:sz w:val="22"/>
          <w:szCs w:val="22"/>
          <w:lang w:val="es-ES"/>
        </w:rPr>
        <w:t xml:space="preserve">“Por el cual se crea el Sistema Nacional de identificación, Información y Trazabilidad Animal”. </w:t>
      </w:r>
    </w:p>
    <w:p w:rsidR="002A614D" w:rsidRDefault="002A614D" w:rsidP="002A614D">
      <w:pPr>
        <w:pStyle w:val="Subttulo"/>
        <w:spacing w:before="0" w:after="0"/>
        <w:ind w:left="709"/>
        <w:jc w:val="both"/>
        <w:rPr>
          <w:rFonts w:ascii="Arial" w:hAnsi="Arial" w:cs="Arial"/>
          <w:i w:val="0"/>
          <w:szCs w:val="24"/>
          <w:lang w:val="es-CO"/>
        </w:rPr>
      </w:pPr>
    </w:p>
    <w:p w:rsidR="002A614D" w:rsidRPr="002A614D" w:rsidRDefault="002A614D" w:rsidP="002A614D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2A614D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Ministro de Agricultura y Desarrollo Rural, doctor Juan Camilo Restrepo.</w:t>
      </w:r>
    </w:p>
    <w:p w:rsidR="002A614D" w:rsidRPr="002A614D" w:rsidRDefault="002A614D" w:rsidP="002A614D">
      <w:pPr>
        <w:pStyle w:val="Subttulo"/>
        <w:spacing w:before="0" w:after="0"/>
        <w:ind w:left="720"/>
        <w:jc w:val="both"/>
        <w:rPr>
          <w:rFonts w:ascii="Arial" w:hAnsi="Arial" w:cs="Arial"/>
          <w:sz w:val="16"/>
          <w:szCs w:val="16"/>
          <w:lang w:val="es-CO"/>
        </w:rPr>
      </w:pPr>
    </w:p>
    <w:p w:rsidR="00280D0E" w:rsidRPr="00280D0E" w:rsidRDefault="00280D0E" w:rsidP="00280D0E">
      <w:pPr>
        <w:pStyle w:val="Subttulo"/>
        <w:numPr>
          <w:ilvl w:val="0"/>
          <w:numId w:val="36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280D0E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5" w:history="1">
        <w:r w:rsidRPr="00280D0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060 de 2011 Cámara</w:t>
        </w:r>
      </w:hyperlink>
      <w:r w:rsidRPr="00280D0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80D0E">
        <w:rPr>
          <w:rFonts w:ascii="Arial" w:hAnsi="Arial" w:cs="Arial"/>
          <w:b w:val="0"/>
          <w:bCs/>
          <w:sz w:val="22"/>
          <w:szCs w:val="22"/>
        </w:rPr>
        <w:t>“</w:t>
      </w:r>
      <w:r w:rsidRPr="00280D0E">
        <w:rPr>
          <w:rFonts w:ascii="Arial" w:hAnsi="Arial" w:cs="Arial"/>
          <w:b w:val="0"/>
          <w:bCs/>
          <w:sz w:val="22"/>
          <w:szCs w:val="22"/>
          <w:lang w:val="es-ES"/>
        </w:rPr>
        <w:t xml:space="preserve">Por medio de la cual se reglamenta lo relativo a los requisitos para la utilización de los equipos y elementos de </w:t>
      </w:r>
      <w:proofErr w:type="spellStart"/>
      <w:r w:rsidRPr="00280D0E">
        <w:rPr>
          <w:rFonts w:ascii="Arial" w:hAnsi="Arial" w:cs="Arial"/>
          <w:b w:val="0"/>
          <w:bCs/>
          <w:sz w:val="22"/>
          <w:szCs w:val="22"/>
          <w:lang w:val="es-ES"/>
        </w:rPr>
        <w:t>IZAJE</w:t>
      </w:r>
      <w:proofErr w:type="spellEnd"/>
      <w:r w:rsidRPr="00280D0E">
        <w:rPr>
          <w:rFonts w:ascii="Arial" w:hAnsi="Arial" w:cs="Arial"/>
          <w:b w:val="0"/>
          <w:bCs/>
          <w:sz w:val="22"/>
          <w:szCs w:val="22"/>
          <w:lang w:val="es-ES"/>
        </w:rPr>
        <w:t>, así como las condiciones de experiencia y capacitación exigidas a los operadores de los mismos”.</w:t>
      </w:r>
    </w:p>
    <w:p w:rsidR="00280D0E" w:rsidRPr="002A614D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280D0E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n-US"/>
        </w:rPr>
      </w:pPr>
      <w:proofErr w:type="spellStart"/>
      <w:r w:rsidRPr="00280D0E">
        <w:rPr>
          <w:rFonts w:ascii="Arial" w:hAnsi="Arial" w:cs="Arial"/>
          <w:i w:val="0"/>
          <w:sz w:val="16"/>
          <w:szCs w:val="16"/>
          <w:lang w:val="en-US"/>
        </w:rPr>
        <w:t>Autor</w:t>
      </w:r>
      <w:proofErr w:type="spellEnd"/>
      <w:r w:rsidRPr="00280D0E">
        <w:rPr>
          <w:rFonts w:ascii="Arial" w:hAnsi="Arial" w:cs="Arial"/>
          <w:i w:val="0"/>
          <w:sz w:val="16"/>
          <w:szCs w:val="16"/>
          <w:lang w:val="en-US"/>
        </w:rPr>
        <w:t>:</w:t>
      </w:r>
      <w:r w:rsidRPr="00280D0E">
        <w:rPr>
          <w:rFonts w:ascii="Arial" w:hAnsi="Arial" w:cs="Arial"/>
          <w:b w:val="0"/>
          <w:i w:val="0"/>
          <w:sz w:val="16"/>
          <w:szCs w:val="16"/>
          <w:lang w:val="en-US"/>
        </w:rPr>
        <w:t xml:space="preserve"> H.R. David </w:t>
      </w:r>
      <w:proofErr w:type="spellStart"/>
      <w:r w:rsidRPr="00280D0E">
        <w:rPr>
          <w:rFonts w:ascii="Arial" w:hAnsi="Arial" w:cs="Arial"/>
          <w:b w:val="0"/>
          <w:i w:val="0"/>
          <w:sz w:val="16"/>
          <w:szCs w:val="16"/>
          <w:lang w:val="en-US"/>
        </w:rPr>
        <w:t>Barguil</w:t>
      </w:r>
      <w:proofErr w:type="spellEnd"/>
      <w:r w:rsidRPr="00280D0E">
        <w:rPr>
          <w:rFonts w:ascii="Arial" w:hAnsi="Arial" w:cs="Arial"/>
          <w:b w:val="0"/>
          <w:i w:val="0"/>
          <w:sz w:val="16"/>
          <w:szCs w:val="16"/>
          <w:lang w:val="en-US"/>
        </w:rPr>
        <w:t xml:space="preserve"> </w:t>
      </w:r>
      <w:proofErr w:type="spellStart"/>
      <w:r w:rsidRPr="00280D0E">
        <w:rPr>
          <w:rFonts w:ascii="Arial" w:hAnsi="Arial" w:cs="Arial"/>
          <w:b w:val="0"/>
          <w:i w:val="0"/>
          <w:sz w:val="16"/>
          <w:szCs w:val="16"/>
          <w:lang w:val="en-US"/>
        </w:rPr>
        <w:t>Assis</w:t>
      </w:r>
      <w:proofErr w:type="spellEnd"/>
      <w:r w:rsidRPr="00280D0E">
        <w:rPr>
          <w:rFonts w:ascii="Arial" w:hAnsi="Arial" w:cs="Arial"/>
          <w:b w:val="0"/>
          <w:i w:val="0"/>
          <w:sz w:val="16"/>
          <w:szCs w:val="16"/>
          <w:lang w:val="en-US"/>
        </w:rPr>
        <w:t>.</w:t>
      </w:r>
    </w:p>
    <w:p w:rsidR="002A614D" w:rsidRDefault="002A614D" w:rsidP="00280D0E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n-US"/>
        </w:rPr>
      </w:pPr>
    </w:p>
    <w:p w:rsidR="002A614D" w:rsidRPr="005D63A8" w:rsidRDefault="002A614D" w:rsidP="002A614D">
      <w:pPr>
        <w:pStyle w:val="Subttulo"/>
        <w:numPr>
          <w:ilvl w:val="0"/>
          <w:numId w:val="36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2A614D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6" w:history="1">
        <w:r w:rsidRPr="002A614D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054 de 2012 Cámara</w:t>
        </w:r>
      </w:hyperlink>
      <w:r w:rsidRPr="002A614D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5D63A8">
        <w:rPr>
          <w:rFonts w:ascii="Arial" w:hAnsi="Arial" w:cs="Arial"/>
          <w:b w:val="0"/>
          <w:bCs/>
          <w:sz w:val="22"/>
          <w:szCs w:val="22"/>
        </w:rPr>
        <w:t>“</w:t>
      </w:r>
      <w:r w:rsidRPr="005D63A8">
        <w:rPr>
          <w:rFonts w:ascii="Arial" w:hAnsi="Arial" w:cs="Arial"/>
          <w:b w:val="0"/>
          <w:bCs/>
          <w:sz w:val="22"/>
          <w:szCs w:val="22"/>
          <w:lang w:val="es-CO"/>
        </w:rPr>
        <w:t>Por  medio de la cual la Nación se vincula a la conmemoración del (100) años de la erección del municipio de Montebello en el departamento de Antioquia, y se dictan otras disposiciones</w:t>
      </w:r>
      <w:r w:rsidRPr="005D63A8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2A614D" w:rsidRDefault="002A614D" w:rsidP="002A614D">
      <w:pPr>
        <w:pStyle w:val="Subttulo"/>
        <w:spacing w:before="0" w:after="0"/>
        <w:ind w:left="709"/>
        <w:jc w:val="both"/>
        <w:rPr>
          <w:rFonts w:ascii="Arial" w:hAnsi="Arial" w:cs="Arial"/>
          <w:i w:val="0"/>
          <w:szCs w:val="24"/>
          <w:lang w:val="es-CO"/>
        </w:rPr>
      </w:pPr>
    </w:p>
    <w:p w:rsidR="002A614D" w:rsidRPr="002A614D" w:rsidRDefault="002A614D" w:rsidP="002A614D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2A614D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2A614D">
        <w:rPr>
          <w:rFonts w:ascii="Arial" w:hAnsi="Arial" w:cs="Arial"/>
          <w:b w:val="0"/>
          <w:i w:val="0"/>
          <w:sz w:val="16"/>
          <w:szCs w:val="16"/>
          <w:lang w:val="es-CO"/>
        </w:rPr>
        <w:t>. Germán Blanco Álvarez</w:t>
      </w:r>
      <w:r w:rsidRPr="002A614D">
        <w:rPr>
          <w:rFonts w:ascii="Arial" w:hAnsi="Arial" w:cs="Arial"/>
          <w:b w:val="0"/>
          <w:i w:val="0"/>
          <w:sz w:val="16"/>
          <w:szCs w:val="16"/>
          <w:lang w:val="es-ES"/>
        </w:rPr>
        <w:t>.</w:t>
      </w:r>
    </w:p>
    <w:p w:rsidR="00280D0E" w:rsidRPr="002A614D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bCs/>
          <w:i w:val="0"/>
          <w:sz w:val="22"/>
          <w:szCs w:val="22"/>
          <w:lang w:val="es-CO"/>
        </w:rPr>
      </w:pPr>
    </w:p>
    <w:p w:rsidR="00280D0E" w:rsidRPr="00280D0E" w:rsidRDefault="00280D0E" w:rsidP="00280D0E">
      <w:pPr>
        <w:pStyle w:val="Subttulo"/>
        <w:numPr>
          <w:ilvl w:val="0"/>
          <w:numId w:val="36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0D0E">
        <w:rPr>
          <w:rFonts w:ascii="Arial" w:hAnsi="Arial" w:cs="Arial"/>
          <w:i w:val="0"/>
          <w:sz w:val="22"/>
          <w:szCs w:val="22"/>
          <w:lang w:val="es-CO"/>
        </w:rPr>
        <w:t xml:space="preserve">Se discutió y sin modificaciones se aprobó, el </w:t>
      </w:r>
      <w:hyperlink r:id="rId17" w:history="1">
        <w:r w:rsidRPr="00280D0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115 de 2012 Cámara</w:t>
        </w:r>
      </w:hyperlink>
      <w:r w:rsidRPr="00280D0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80D0E">
        <w:rPr>
          <w:rFonts w:ascii="Arial" w:hAnsi="Arial" w:cs="Arial"/>
          <w:b w:val="0"/>
          <w:bCs/>
          <w:sz w:val="22"/>
          <w:szCs w:val="22"/>
        </w:rPr>
        <w:t>“</w:t>
      </w:r>
      <w:r w:rsidRPr="00280D0E">
        <w:rPr>
          <w:rFonts w:ascii="Arial" w:hAnsi="Arial" w:cs="Arial"/>
          <w:b w:val="0"/>
          <w:bCs/>
          <w:sz w:val="22"/>
          <w:szCs w:val="22"/>
          <w:lang w:val="es-ES"/>
        </w:rPr>
        <w:t>Por la cual se sustituye el contenido del artículo 128 de la ley 769 de 2002 – Código de Tránsito Terrestre”.</w:t>
      </w:r>
      <w:r w:rsidRPr="00280D0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280D0E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280D0E" w:rsidRPr="00280D0E" w:rsidRDefault="00280D0E" w:rsidP="00280D0E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280D0E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280D0E">
        <w:rPr>
          <w:rFonts w:ascii="Arial" w:hAnsi="Arial" w:cs="Arial"/>
          <w:b w:val="0"/>
          <w:i w:val="0"/>
          <w:sz w:val="16"/>
          <w:szCs w:val="16"/>
          <w:lang w:val="es-CO"/>
        </w:rPr>
        <w:t>. Iván Darío Agudelo Zapata</w:t>
      </w:r>
    </w:p>
    <w:p w:rsidR="00280D0E" w:rsidRPr="00280D0E" w:rsidRDefault="00280D0E" w:rsidP="00280D0E">
      <w:pPr>
        <w:pStyle w:val="Subttulo"/>
        <w:spacing w:before="0" w:after="0"/>
        <w:ind w:left="-142"/>
        <w:jc w:val="both"/>
        <w:rPr>
          <w:rFonts w:ascii="Arial" w:hAnsi="Arial" w:cs="Arial"/>
          <w:bCs/>
          <w:i w:val="0"/>
          <w:sz w:val="16"/>
          <w:szCs w:val="16"/>
        </w:rPr>
      </w:pPr>
    </w:p>
    <w:p w:rsidR="00160C8F" w:rsidRPr="00280D0E" w:rsidRDefault="00160C8F" w:rsidP="0032189A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ES_tradnl"/>
        </w:rPr>
      </w:pPr>
      <w:bookmarkStart w:id="0" w:name="_GoBack"/>
      <w:bookmarkEnd w:id="0"/>
    </w:p>
    <w:p w:rsidR="005A01C7" w:rsidRPr="00280D0E" w:rsidRDefault="00A623A1" w:rsidP="006C56B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280D0E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20" w:rsidRDefault="00884320" w:rsidP="005A01C7">
      <w:r>
        <w:separator/>
      </w:r>
    </w:p>
  </w:endnote>
  <w:endnote w:type="continuationSeparator" w:id="0">
    <w:p w:rsidR="00884320" w:rsidRDefault="00884320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884320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20" w:rsidRDefault="00884320" w:rsidP="005A01C7">
      <w:r>
        <w:separator/>
      </w:r>
    </w:p>
  </w:footnote>
  <w:footnote w:type="continuationSeparator" w:id="0">
    <w:p w:rsidR="00884320" w:rsidRDefault="00884320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7166853"/>
    <w:multiLevelType w:val="hybridMultilevel"/>
    <w:tmpl w:val="F5B85EC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9">
    <w:nsid w:val="4D2C5987"/>
    <w:multiLevelType w:val="hybridMultilevel"/>
    <w:tmpl w:val="BC06A188"/>
    <w:lvl w:ilvl="0" w:tplc="52A61012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12"/>
  </w:num>
  <w:num w:numId="5">
    <w:abstractNumId w:val="0"/>
  </w:num>
  <w:num w:numId="6">
    <w:abstractNumId w:val="21"/>
  </w:num>
  <w:num w:numId="7">
    <w:abstractNumId w:val="14"/>
  </w:num>
  <w:num w:numId="8">
    <w:abstractNumId w:val="23"/>
  </w:num>
  <w:num w:numId="9">
    <w:abstractNumId w:val="0"/>
  </w:num>
  <w:num w:numId="10">
    <w:abstractNumId w:val="21"/>
  </w:num>
  <w:num w:numId="11">
    <w:abstractNumId w:val="14"/>
  </w:num>
  <w:num w:numId="12">
    <w:abstractNumId w:val="8"/>
  </w:num>
  <w:num w:numId="13">
    <w:abstractNumId w:val="4"/>
  </w:num>
  <w:num w:numId="14">
    <w:abstractNumId w:val="29"/>
  </w:num>
  <w:num w:numId="15">
    <w:abstractNumId w:val="20"/>
  </w:num>
  <w:num w:numId="16">
    <w:abstractNumId w:val="27"/>
  </w:num>
  <w:num w:numId="17">
    <w:abstractNumId w:val="25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8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8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2"/>
  </w:num>
  <w:num w:numId="34">
    <w:abstractNumId w:val="24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5D63A8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A0D38"/>
    <w:rsid w:val="007C4A0E"/>
    <w:rsid w:val="007F028B"/>
    <w:rsid w:val="00807D07"/>
    <w:rsid w:val="00846316"/>
    <w:rsid w:val="008511EC"/>
    <w:rsid w:val="00884320"/>
    <w:rsid w:val="008C34A4"/>
    <w:rsid w:val="008C4FDC"/>
    <w:rsid w:val="00916D97"/>
    <w:rsid w:val="00990C93"/>
    <w:rsid w:val="00A44BA9"/>
    <w:rsid w:val="00A623A1"/>
    <w:rsid w:val="00A979C2"/>
    <w:rsid w:val="00B44F57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ara.gov.co/portal2011/proceso-y-tramite-legislativo/proyectos-de-ley?option=com_proyectosdeley&amp;view=ver_proyectodeley&amp;idpry=98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proceso-y-tramite-legislativo/proyectos-de-ley?option=com_proyectosdeley&amp;view=ver_proyectodeley&amp;idpry=821" TargetMode="External"/><Relationship Id="rId17" Type="http://schemas.openxmlformats.org/officeDocument/2006/relationships/hyperlink" Target="http://www.camara.gov.co/portal2011/proceso-y-tramite-legislativo/proyectos-de-ley?option=com_proyectosdeley&amp;view=ver_proyectodeley&amp;idpry=9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ara.gov.co/portal2011/proceso-y-tramite-legislativo/proyectos-de-ley?option=com_proyectosdeley&amp;view=ver_proyectodeley&amp;idpry=8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9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mara.gov.co/portal2011/proceso-y-tramite-legislativo/proyectos-de-ley?option=com_proyectosdeley&amp;view=ver_proyectodeley&amp;idpry=589" TargetMode="External"/><Relationship Id="rId10" Type="http://schemas.openxmlformats.org/officeDocument/2006/relationships/hyperlink" Target="http://servoaspr.imprenta.gov.co:7778/gacetap/gaceta.mostrar_documento?p_tipo=123&amp;p_numero=147&amp;p_consec=3503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690" TargetMode="External"/><Relationship Id="rId14" Type="http://schemas.openxmlformats.org/officeDocument/2006/relationships/hyperlink" Target="http://www.camara.gov.co/portal2011/proceso-y-tramite-legislativo/proyectos-de-ley?option=com_proyectosdeley&amp;view=ver_proyectodeley&amp;idpry=68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715D-32C3-430A-BA21-09A2148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2012-12-20T16:55:00Z</dcterms:created>
  <dcterms:modified xsi:type="dcterms:W3CDTF">2012-12-20T21:54:00Z</dcterms:modified>
</cp:coreProperties>
</file>